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4F4" w:rsidRDefault="009B04F4" w:rsidP="009B04F4">
      <w:pPr>
        <w:spacing w:line="480" w:lineRule="auto"/>
        <w:ind w:firstLine="720"/>
        <w:contextualSpacing/>
        <w:rPr>
          <w:rFonts w:ascii="Times New Roman" w:hAnsi="Times New Roman" w:cs="Times New Roman"/>
          <w:sz w:val="24"/>
          <w:szCs w:val="24"/>
          <w:lang w:val="en-GB"/>
        </w:rPr>
      </w:pPr>
    </w:p>
    <w:p w:rsidR="009B04F4" w:rsidRDefault="009B04F4" w:rsidP="009B04F4">
      <w:pPr>
        <w:spacing w:line="480" w:lineRule="auto"/>
        <w:ind w:firstLine="720"/>
        <w:contextualSpacing/>
        <w:rPr>
          <w:rFonts w:ascii="Times New Roman" w:hAnsi="Times New Roman" w:cs="Times New Roman"/>
          <w:sz w:val="24"/>
          <w:szCs w:val="24"/>
          <w:lang w:val="en-GB"/>
        </w:rPr>
      </w:pPr>
    </w:p>
    <w:p w:rsidR="009B04F4" w:rsidRDefault="009B04F4" w:rsidP="009B04F4">
      <w:pPr>
        <w:spacing w:line="480" w:lineRule="auto"/>
        <w:ind w:firstLine="720"/>
        <w:contextualSpacing/>
        <w:rPr>
          <w:rFonts w:ascii="Times New Roman" w:hAnsi="Times New Roman" w:cs="Times New Roman"/>
          <w:sz w:val="24"/>
          <w:szCs w:val="24"/>
          <w:lang w:val="en-GB"/>
        </w:rPr>
      </w:pPr>
    </w:p>
    <w:p w:rsidR="009B04F4" w:rsidRDefault="009B04F4" w:rsidP="009B04F4">
      <w:pPr>
        <w:spacing w:line="480" w:lineRule="auto"/>
        <w:ind w:firstLine="720"/>
        <w:contextualSpacing/>
        <w:rPr>
          <w:rFonts w:ascii="Times New Roman" w:hAnsi="Times New Roman" w:cs="Times New Roman"/>
          <w:sz w:val="24"/>
          <w:szCs w:val="24"/>
          <w:lang w:val="en-GB"/>
        </w:rPr>
      </w:pPr>
    </w:p>
    <w:p w:rsidR="009B04F4" w:rsidRDefault="009B04F4" w:rsidP="009B04F4">
      <w:pPr>
        <w:spacing w:line="480" w:lineRule="auto"/>
        <w:ind w:firstLine="720"/>
        <w:contextualSpacing/>
        <w:rPr>
          <w:rFonts w:ascii="Times New Roman" w:hAnsi="Times New Roman" w:cs="Times New Roman"/>
          <w:sz w:val="24"/>
          <w:szCs w:val="24"/>
          <w:lang w:val="en-GB"/>
        </w:rPr>
      </w:pPr>
    </w:p>
    <w:p w:rsidR="009B04F4" w:rsidRDefault="009B04F4" w:rsidP="009B04F4">
      <w:pPr>
        <w:spacing w:line="480" w:lineRule="auto"/>
        <w:ind w:firstLine="720"/>
        <w:contextualSpacing/>
        <w:jc w:val="center"/>
        <w:rPr>
          <w:rFonts w:ascii="Times New Roman" w:hAnsi="Times New Roman" w:cs="Times New Roman"/>
          <w:b/>
          <w:sz w:val="24"/>
          <w:szCs w:val="24"/>
          <w:lang w:val="en-GB"/>
        </w:rPr>
      </w:pPr>
    </w:p>
    <w:p w:rsidR="009B04F4" w:rsidRDefault="009B04F4" w:rsidP="009B04F4">
      <w:pPr>
        <w:spacing w:line="480" w:lineRule="auto"/>
        <w:ind w:firstLine="720"/>
        <w:contextualSpacing/>
        <w:jc w:val="center"/>
        <w:rPr>
          <w:rFonts w:ascii="Times New Roman" w:hAnsi="Times New Roman" w:cs="Times New Roman"/>
          <w:b/>
          <w:sz w:val="24"/>
          <w:szCs w:val="24"/>
          <w:lang w:val="en-GB"/>
        </w:rPr>
      </w:pPr>
    </w:p>
    <w:p w:rsidR="009B04F4" w:rsidRDefault="009B04F4" w:rsidP="009B04F4">
      <w:pPr>
        <w:spacing w:line="480" w:lineRule="auto"/>
        <w:ind w:firstLine="720"/>
        <w:contextualSpacing/>
        <w:jc w:val="center"/>
        <w:rPr>
          <w:rFonts w:ascii="Times New Roman" w:hAnsi="Times New Roman" w:cs="Times New Roman"/>
          <w:b/>
          <w:sz w:val="24"/>
          <w:szCs w:val="24"/>
          <w:lang w:val="en-GB"/>
        </w:rPr>
      </w:pPr>
    </w:p>
    <w:p w:rsidR="009B04F4" w:rsidRPr="009B04F4" w:rsidRDefault="009B04F4" w:rsidP="009B04F4">
      <w:pPr>
        <w:spacing w:line="480" w:lineRule="auto"/>
        <w:ind w:firstLine="720"/>
        <w:contextualSpacing/>
        <w:jc w:val="center"/>
        <w:rPr>
          <w:rFonts w:ascii="Times New Roman" w:hAnsi="Times New Roman" w:cs="Times New Roman"/>
          <w:b/>
          <w:sz w:val="24"/>
          <w:szCs w:val="24"/>
          <w:lang w:val="en-GB"/>
        </w:rPr>
      </w:pPr>
      <w:r w:rsidRPr="009B04F4">
        <w:rPr>
          <w:rFonts w:ascii="Times New Roman" w:hAnsi="Times New Roman" w:cs="Times New Roman"/>
          <w:b/>
          <w:sz w:val="24"/>
          <w:szCs w:val="24"/>
          <w:lang w:val="en-GB"/>
        </w:rPr>
        <w:t>Hurricane Maria in Puerto Rico</w:t>
      </w:r>
    </w:p>
    <w:p w:rsidR="009B04F4" w:rsidRDefault="009B04F4" w:rsidP="009B04F4">
      <w:pPr>
        <w:spacing w:line="480" w:lineRule="auto"/>
        <w:ind w:firstLine="720"/>
        <w:contextualSpacing/>
        <w:jc w:val="center"/>
        <w:rPr>
          <w:rFonts w:ascii="Times New Roman" w:hAnsi="Times New Roman" w:cs="Times New Roman"/>
          <w:sz w:val="24"/>
          <w:szCs w:val="24"/>
          <w:lang w:val="en-GB"/>
        </w:rPr>
      </w:pPr>
    </w:p>
    <w:p w:rsidR="009B04F4" w:rsidRDefault="009B04F4" w:rsidP="009B04F4">
      <w:pPr>
        <w:spacing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Affiliation</w:t>
      </w:r>
    </w:p>
    <w:p w:rsidR="009B04F4" w:rsidRDefault="009B04F4" w:rsidP="009B04F4">
      <w:pPr>
        <w:spacing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Professor</w:t>
      </w:r>
    </w:p>
    <w:p w:rsidR="009B04F4" w:rsidRDefault="009B04F4" w:rsidP="009B04F4">
      <w:pPr>
        <w:spacing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Student</w:t>
      </w:r>
    </w:p>
    <w:p w:rsidR="009B04F4" w:rsidRDefault="009B04F4" w:rsidP="009B04F4">
      <w:pPr>
        <w:spacing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9B04F4" w:rsidRDefault="009B04F4" w:rsidP="009B04F4">
      <w:pPr>
        <w:spacing w:line="480" w:lineRule="auto"/>
        <w:ind w:firstLine="720"/>
        <w:contextualSpacing/>
        <w:rPr>
          <w:rFonts w:ascii="Times New Roman" w:hAnsi="Times New Roman" w:cs="Times New Roman"/>
          <w:sz w:val="24"/>
          <w:szCs w:val="24"/>
          <w:lang w:val="en-GB"/>
        </w:rPr>
      </w:pPr>
    </w:p>
    <w:p w:rsidR="009B04F4" w:rsidRDefault="009B04F4" w:rsidP="009B04F4">
      <w:pPr>
        <w:spacing w:line="480" w:lineRule="auto"/>
        <w:ind w:firstLine="720"/>
        <w:contextualSpacing/>
        <w:rPr>
          <w:rFonts w:ascii="Times New Roman" w:hAnsi="Times New Roman" w:cs="Times New Roman"/>
          <w:sz w:val="24"/>
          <w:szCs w:val="24"/>
          <w:lang w:val="en-GB"/>
        </w:rPr>
      </w:pPr>
    </w:p>
    <w:p w:rsidR="009B04F4" w:rsidRDefault="009B04F4" w:rsidP="009B04F4">
      <w:pPr>
        <w:spacing w:line="480" w:lineRule="auto"/>
        <w:ind w:firstLine="720"/>
        <w:contextualSpacing/>
        <w:rPr>
          <w:rFonts w:ascii="Times New Roman" w:hAnsi="Times New Roman" w:cs="Times New Roman"/>
          <w:sz w:val="24"/>
          <w:szCs w:val="24"/>
          <w:lang w:val="en-GB"/>
        </w:rPr>
      </w:pPr>
    </w:p>
    <w:p w:rsidR="009B04F4" w:rsidRDefault="009B04F4" w:rsidP="009B04F4">
      <w:pPr>
        <w:spacing w:line="480" w:lineRule="auto"/>
        <w:ind w:firstLine="720"/>
        <w:contextualSpacing/>
        <w:rPr>
          <w:rFonts w:ascii="Times New Roman" w:hAnsi="Times New Roman" w:cs="Times New Roman"/>
          <w:sz w:val="24"/>
          <w:szCs w:val="24"/>
          <w:lang w:val="en-GB"/>
        </w:rPr>
      </w:pPr>
    </w:p>
    <w:p w:rsidR="009B04F4" w:rsidRDefault="009B04F4" w:rsidP="009B04F4">
      <w:pPr>
        <w:tabs>
          <w:tab w:val="left" w:pos="1965"/>
        </w:tabs>
        <w:spacing w:line="480" w:lineRule="auto"/>
        <w:contextualSpacing/>
        <w:rPr>
          <w:rFonts w:ascii="Times New Roman" w:hAnsi="Times New Roman" w:cs="Times New Roman"/>
          <w:sz w:val="24"/>
          <w:szCs w:val="24"/>
          <w:lang w:val="en-GB"/>
        </w:rPr>
      </w:pPr>
    </w:p>
    <w:p w:rsidR="009B04F4" w:rsidRDefault="009B04F4" w:rsidP="009B04F4">
      <w:pPr>
        <w:spacing w:line="480" w:lineRule="auto"/>
        <w:ind w:firstLine="720"/>
        <w:contextualSpacing/>
        <w:rPr>
          <w:rFonts w:ascii="Times New Roman" w:hAnsi="Times New Roman" w:cs="Times New Roman"/>
          <w:sz w:val="24"/>
          <w:szCs w:val="24"/>
          <w:lang w:val="en-GB"/>
        </w:rPr>
      </w:pPr>
    </w:p>
    <w:p w:rsidR="009B04F4" w:rsidRDefault="009B04F4" w:rsidP="009B04F4">
      <w:pPr>
        <w:spacing w:line="480" w:lineRule="auto"/>
        <w:ind w:firstLine="720"/>
        <w:contextualSpacing/>
        <w:rPr>
          <w:rFonts w:ascii="Times New Roman" w:hAnsi="Times New Roman" w:cs="Times New Roman"/>
          <w:sz w:val="24"/>
          <w:szCs w:val="24"/>
          <w:lang w:val="en-GB"/>
        </w:rPr>
      </w:pPr>
    </w:p>
    <w:p w:rsidR="009B04F4" w:rsidRDefault="009B04F4" w:rsidP="009B04F4">
      <w:pPr>
        <w:spacing w:line="480" w:lineRule="auto"/>
        <w:ind w:firstLine="720"/>
        <w:contextualSpacing/>
        <w:rPr>
          <w:rFonts w:ascii="Times New Roman" w:hAnsi="Times New Roman" w:cs="Times New Roman"/>
          <w:sz w:val="24"/>
          <w:szCs w:val="24"/>
          <w:lang w:val="en-GB"/>
        </w:rPr>
      </w:pPr>
    </w:p>
    <w:p w:rsidR="009B04F4" w:rsidRDefault="009B04F4" w:rsidP="009B04F4">
      <w:pPr>
        <w:spacing w:line="480" w:lineRule="auto"/>
        <w:ind w:firstLine="720"/>
        <w:contextualSpacing/>
        <w:rPr>
          <w:rFonts w:ascii="Times New Roman" w:hAnsi="Times New Roman" w:cs="Times New Roman"/>
          <w:sz w:val="24"/>
          <w:szCs w:val="24"/>
          <w:lang w:val="en-GB"/>
        </w:rPr>
      </w:pPr>
    </w:p>
    <w:p w:rsidR="00F8795D" w:rsidRPr="00F8795D" w:rsidRDefault="00F8795D" w:rsidP="00F8795D">
      <w:pPr>
        <w:spacing w:line="480" w:lineRule="auto"/>
        <w:ind w:firstLine="720"/>
        <w:contextualSpacing/>
        <w:jc w:val="center"/>
        <w:rPr>
          <w:rStyle w:val="Strong"/>
          <w:rFonts w:ascii="Times New Roman" w:hAnsi="Times New Roman" w:cs="Times New Roman"/>
          <w:bCs w:val="0"/>
          <w:sz w:val="24"/>
          <w:szCs w:val="24"/>
          <w:lang w:val="en-GB"/>
        </w:rPr>
      </w:pPr>
      <w:r w:rsidRPr="009B04F4">
        <w:rPr>
          <w:rFonts w:ascii="Times New Roman" w:hAnsi="Times New Roman" w:cs="Times New Roman"/>
          <w:b/>
          <w:sz w:val="24"/>
          <w:szCs w:val="24"/>
          <w:lang w:val="en-GB"/>
        </w:rPr>
        <w:lastRenderedPageBreak/>
        <w:t>Hurricane Maria in Puerto Rico</w:t>
      </w:r>
    </w:p>
    <w:p w:rsidR="00727882" w:rsidRDefault="00727882" w:rsidP="00F8795D">
      <w:pPr>
        <w:pStyle w:val="NormalWeb"/>
        <w:spacing w:before="0" w:beforeAutospacing="0" w:after="160" w:afterAutospacing="0" w:line="480" w:lineRule="auto"/>
        <w:ind w:firstLine="720"/>
        <w:contextualSpacing/>
        <w:rPr>
          <w:color w:val="0E101A"/>
        </w:rPr>
      </w:pPr>
      <w:r>
        <w:rPr>
          <w:rStyle w:val="Strong"/>
          <w:color w:val="0E101A"/>
        </w:rPr>
        <w:t>Introduction</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t>Hurricanes are large storms that form on land or over warm waters. They are the most violent storms and can cause the destruction of buildings, the environment, and death. Hurricane Maria was a devastating disaster that affected Puerto Rico, Dominica, and St Croix in 2017. The hurricane is recorded as one of the worst disasters in history for destroying more than 300,000 homes and property worth 100 billion</w:t>
      </w:r>
      <w:r>
        <w:rPr>
          <w:color w:val="0E101A"/>
        </w:rPr>
        <w:t xml:space="preserve"> (</w:t>
      </w:r>
      <w:proofErr w:type="spellStart"/>
      <w:r>
        <w:rPr>
          <w:color w:val="222222"/>
          <w:shd w:val="clear" w:color="auto" w:fill="FFFFFF"/>
        </w:rPr>
        <w:t>Zorrilla</w:t>
      </w:r>
      <w:proofErr w:type="spellEnd"/>
      <w:r>
        <w:rPr>
          <w:color w:val="222222"/>
          <w:shd w:val="clear" w:color="auto" w:fill="FFFFFF"/>
        </w:rPr>
        <w:t>, 2017)</w:t>
      </w:r>
      <w:r>
        <w:rPr>
          <w:color w:val="0E101A"/>
        </w:rPr>
        <w:t>. Hurricane Maria also destroyed power stations and cellular networks in the Puerto Rico Islands, making communication impossible. Many areas were inaccessible, with roads obstructed by fallen trees and flooding in low grounds. Additionally, the impact was significant in healthcare since there was no power supply and drinking water in medical facilities. The economy was affected due to the destruction of business centers. However, appropriate actions were taken to save lives and property and help the residents return to their daily operation after the hurricane. This paper discusses the preparedness, response, and recovery actions put in place to reduce the effect of Hurricane Maria and help the peo</w:t>
      </w:r>
      <w:r w:rsidR="00F8795D">
        <w:rPr>
          <w:color w:val="0E101A"/>
        </w:rPr>
        <w:t>ple restore normalcy in Puerto Rico</w:t>
      </w:r>
      <w:r>
        <w:rPr>
          <w:color w:val="0E101A"/>
        </w:rPr>
        <w:t>. It also provides workable recommendations for public health professionals in future disaster management.</w:t>
      </w:r>
    </w:p>
    <w:p w:rsidR="00727882" w:rsidRDefault="00727882" w:rsidP="00F8795D">
      <w:pPr>
        <w:pStyle w:val="NormalWeb"/>
        <w:spacing w:before="0" w:beforeAutospacing="0" w:after="160" w:afterAutospacing="0" w:line="480" w:lineRule="auto"/>
        <w:ind w:firstLine="720"/>
        <w:contextualSpacing/>
        <w:jc w:val="center"/>
        <w:rPr>
          <w:color w:val="0E101A"/>
        </w:rPr>
      </w:pPr>
      <w:r>
        <w:rPr>
          <w:rStyle w:val="Strong"/>
          <w:color w:val="0E101A"/>
        </w:rPr>
        <w:t>Literature Review</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t>Hurricane Maria led to the severe economic crisis in Pue</w:t>
      </w:r>
      <w:r w:rsidR="00F8795D">
        <w:rPr>
          <w:color w:val="0E101A"/>
        </w:rPr>
        <w:t>rto Rico</w:t>
      </w:r>
      <w:r>
        <w:rPr>
          <w:color w:val="0E101A"/>
        </w:rPr>
        <w:t>. Lack of jobs, declining infrastructure, and high taxation are some of the economic effe</w:t>
      </w:r>
      <w:bookmarkStart w:id="0" w:name="_GoBack"/>
      <w:bookmarkEnd w:id="0"/>
      <w:r>
        <w:rPr>
          <w:color w:val="0E101A"/>
        </w:rPr>
        <w:t xml:space="preserve">cts of the Hurricane (Hu &amp; Smith, 2018). A recent report released by FEMA in 2020 indicates that Puerto Rico took severe measures to prepare for the hurricane to reduce its impact. The government ensured that residents had enough food to last at least ten days. Further, a study conducted by MECO Inc. (2018) indicates that FEMA contributed to providing housing for displaced citizens in response </w:t>
      </w:r>
      <w:r>
        <w:rPr>
          <w:color w:val="0E101A"/>
        </w:rPr>
        <w:lastRenderedPageBreak/>
        <w:t>to the disaster. The U.S. Department of urban development and housing provided funds for rebuilding to help the residents recover from the disaster. According to previous research conducted by Thomas (2017), strategies to rebuild the island's economy have been implemented to help restore normalcy in economic operations. The coordination of FEMA with public health professionals in the U.S. has ensured that residents are well prepared to respond appropriately in case of any disaster to save property and lives.</w:t>
      </w:r>
    </w:p>
    <w:p w:rsidR="00727882" w:rsidRDefault="00727882" w:rsidP="00F8795D">
      <w:pPr>
        <w:pStyle w:val="NormalWeb"/>
        <w:spacing w:before="0" w:beforeAutospacing="0" w:after="160" w:afterAutospacing="0" w:line="480" w:lineRule="auto"/>
        <w:ind w:firstLine="720"/>
        <w:contextualSpacing/>
        <w:jc w:val="center"/>
        <w:rPr>
          <w:color w:val="0E101A"/>
        </w:rPr>
      </w:pPr>
      <w:r>
        <w:rPr>
          <w:rStyle w:val="Strong"/>
          <w:color w:val="0E101A"/>
        </w:rPr>
        <w:t>Preparedness</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t>Preparedness refers to the set of actions taken as precautionary measures when a potential disaster is anticipated. Preparedness during disaster management aims to lessen the impacts of a disaster. Also, preparedness enables organizations and residents to design a coordinated plan to avoid wastage of resources</w:t>
      </w:r>
      <w:r>
        <w:rPr>
          <w:color w:val="0E101A"/>
        </w:rPr>
        <w:t xml:space="preserve"> (</w:t>
      </w:r>
      <w:proofErr w:type="spellStart"/>
      <w:r w:rsidRPr="00D22D9F">
        <w:rPr>
          <w:lang w:val="en-GB"/>
        </w:rPr>
        <w:t>Azola</w:t>
      </w:r>
      <w:proofErr w:type="spellEnd"/>
      <w:r>
        <w:rPr>
          <w:lang w:val="en-GB"/>
        </w:rPr>
        <w:t xml:space="preserve">, </w:t>
      </w:r>
      <w:r w:rsidRPr="00D22D9F">
        <w:rPr>
          <w:lang w:val="en-GB"/>
        </w:rPr>
        <w:t>2018).</w:t>
      </w:r>
      <w:r>
        <w:rPr>
          <w:color w:val="0E101A"/>
        </w:rPr>
        <w:t xml:space="preserve"> Puerto Rico faces frequent hurricane threats. Preparation for Hurricane Maria was vital to ensure operations were not highly affected. Following the disaster of Hurricane George that hit Puerto Rico in 1998, residents had emergency preparedness protocols. There were residency programs that organized different people in close proximity in preparation for the disaster. The residency programs recorded contact lists of the residents, with emergency telephone contacts and physical addresses. The contact information would help in case someone needed help during the disaster. Additionally, a list of disabled people and children in every location was recorded for easy evacuation during the hurricane to ensure everyone is saved. The residents also confirmed they had additional items such as extra cash and battery-powered devices in case of a power outage. </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t xml:space="preserve">Public health professionals also played a vital role in ensuring healthcare services are not disrupted. Hospitals provided food and shelter to residents to ensure nobody would go out during the storm. All the patients provided contacts to their close family members to facilitate easy </w:t>
      </w:r>
      <w:r>
        <w:rPr>
          <w:color w:val="0E101A"/>
        </w:rPr>
        <w:lastRenderedPageBreak/>
        <w:t>communication during the hurricane. Also, risky areas were evaluated, and the cars in vulnerable parking lots were transferred. Backup generators were inspected to ensure operations were not affected in case power was lost. Further, hospitals relocated patients to lower floors and fewer risk areas to save as many lives as possible. The measures by the public health professions ensured the safety of both the residents and patients. </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t>The government also adopted feasible measures to prepare for the storm. Residents were provided with extra food and water to serve them during the hurricane. In addition, the government, together with the emergency department, identified vulnerable populations such as the elderly and those in nursing homes and were relocated to safer zones</w:t>
      </w:r>
      <w:r>
        <w:rPr>
          <w:color w:val="0E101A"/>
        </w:rPr>
        <w:t xml:space="preserve"> (</w:t>
      </w:r>
      <w:r>
        <w:rPr>
          <w:color w:val="222222"/>
          <w:shd w:val="clear" w:color="auto" w:fill="FFFFFF"/>
        </w:rPr>
        <w:t>Hu &amp; Smith, 2018)</w:t>
      </w:r>
      <w:r>
        <w:rPr>
          <w:color w:val="0E101A"/>
        </w:rPr>
        <w:t>. Direct emergency lines were also installed to ensure adequate response was taken during the hurricane. The government also educated residents on safety measures and produced a list of risky areas. Therefore, residents and business owners were able to relocate to reduce the storm's impact on the property. </w:t>
      </w:r>
    </w:p>
    <w:p w:rsidR="00727882" w:rsidRDefault="00727882" w:rsidP="00F8795D">
      <w:pPr>
        <w:pStyle w:val="NormalWeb"/>
        <w:spacing w:before="0" w:beforeAutospacing="0" w:after="160" w:afterAutospacing="0" w:line="480" w:lineRule="auto"/>
        <w:ind w:firstLine="720"/>
        <w:contextualSpacing/>
        <w:jc w:val="center"/>
        <w:rPr>
          <w:color w:val="0E101A"/>
        </w:rPr>
      </w:pPr>
      <w:r>
        <w:rPr>
          <w:rStyle w:val="Strong"/>
          <w:color w:val="0E101A"/>
        </w:rPr>
        <w:t>Response</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t>Emergency response is also a vital phase of disaster management. The plan to respond to a disaster influences the recovery process and future development possibilities. Emergency response involves planning, action, and review. An effective response is influenced by proper disaster preparedness. Large teams of residents were in hospitals and safe zones when Hurricane Maria hit Puerto Rico. Power generators helped to keep services in hospitals going after a wide power outage on the island. Satellite networks installed by the government enable communication since electronic communications had collapsed. Therefore, emergency departments and intensive care units continued to operate even during the hurricane. </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lastRenderedPageBreak/>
        <w:t>Residents and business owners evacuated from home and trading centers that were considered vulnerable to the hurricane. Hospitals provided food and shelter for affected individuals. Pets and animals were not exempted from the possible effects of the storm. As a result, they were also relocated to safer places to avoid death. Hospitals and the government provided beddings and blankets for homeless residents to start over. In addition, temporary accommodation in hospitals and other government facilities was provided to allow time to recover. Residents used candles and battery-powered flashlights since there was a wide power outage. </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t>All the residents waited for public health officials' instructions before leaving hospitals or their houses after the hurricane. Many people experienced a significant loss of property damaged by the storm. However, many lives were saved during Hurricane Maria. The government also provided mosquito nets to families due to the influx of mosquitoes caused by the floods. Psychological support was given to people who lost their homes, and the government promised to provide a strategy to rebuild. The area was flooded, and agricultural produce was highly affected. Therefore, the government implemented relief food programs on the island to help people who lost their property. Further, the government installed landline telephones that did not require electricity during the first days after the storm</w:t>
      </w:r>
      <w:r>
        <w:rPr>
          <w:color w:val="0E101A"/>
        </w:rPr>
        <w:t xml:space="preserve"> (</w:t>
      </w:r>
      <w:r>
        <w:rPr>
          <w:color w:val="222222"/>
          <w:shd w:val="clear" w:color="auto" w:fill="FFFFFF"/>
        </w:rPr>
        <w:t>Santos-</w:t>
      </w:r>
      <w:proofErr w:type="spellStart"/>
      <w:r>
        <w:rPr>
          <w:color w:val="222222"/>
          <w:shd w:val="clear" w:color="auto" w:fill="FFFFFF"/>
        </w:rPr>
        <w:t>Burgoa</w:t>
      </w:r>
      <w:proofErr w:type="spellEnd"/>
      <w:r>
        <w:rPr>
          <w:color w:val="222222"/>
          <w:shd w:val="clear" w:color="auto" w:fill="FFFFFF"/>
        </w:rPr>
        <w:t xml:space="preserve"> et al., 2018)</w:t>
      </w:r>
      <w:r>
        <w:rPr>
          <w:color w:val="0E101A"/>
        </w:rPr>
        <w:t>. Communication between the residents and health professionals was restored immediately after the storm to ensure that emergency services were quickly addressed.</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t xml:space="preserve">Moreover, the roads needed to be repaired to ensure easy movement and transport for emergency services. The emergency team of public health officers helped clear the streets and move animal corpses from the roads. The flooded zones were drained, and sewage trucks assisted in disposing of wastes after the storm. In addition, free medical services were offered to </w:t>
      </w:r>
      <w:r>
        <w:rPr>
          <w:color w:val="0E101A"/>
        </w:rPr>
        <w:lastRenderedPageBreak/>
        <w:t>injured residents and those affected by waterborne diseases after the storm. Since there was a slow response to address the power outage problem, the government established a curfew on the island. However, enough security was maintained as the people started the recovery process. The response actions helped to attend to injuries and prevent fatalities during the storm.</w:t>
      </w:r>
    </w:p>
    <w:p w:rsidR="00727882" w:rsidRDefault="00727882" w:rsidP="00F8795D">
      <w:pPr>
        <w:pStyle w:val="NormalWeb"/>
        <w:spacing w:before="0" w:beforeAutospacing="0" w:after="160" w:afterAutospacing="0" w:line="480" w:lineRule="auto"/>
        <w:ind w:firstLine="720"/>
        <w:contextualSpacing/>
        <w:jc w:val="center"/>
        <w:rPr>
          <w:color w:val="0E101A"/>
        </w:rPr>
      </w:pPr>
      <w:r>
        <w:rPr>
          <w:rStyle w:val="Strong"/>
          <w:color w:val="0E101A"/>
        </w:rPr>
        <w:t>Recovery</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t>A recovery plan entails all the activities taken after a disaster to restore lifelines. Emergency recovery also involves a set of procedures, tools, and policies to restore normal operations after a disaster. Puerto Rico implemented strategies to restore power, small business loans, debris clearance, and job assistance programs to ensure life returned to normal. The hurricane affected the economic sector, infrastructure, housing, and the environment. Therefore, the government needed to rebuild the island physically and economically to counter the storm's effects. </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t>Puerto Rico has made an incredible recovery from the effects of Hurricane Maria. The initial step taken in the recovery plan was to restore power on the island. The hurricane had destroyed 80% of the island's transmission lines and utility poles. The government restored powerfully 11 months after the storm. In collaboration with FEMA, Puerto Rico repaired the power grid leading to improved services in healthcare and business centers</w:t>
      </w:r>
      <w:r>
        <w:rPr>
          <w:color w:val="0E101A"/>
        </w:rPr>
        <w:t xml:space="preserve"> (</w:t>
      </w:r>
      <w:r w:rsidRPr="00D22D9F">
        <w:rPr>
          <w:color w:val="222222"/>
          <w:shd w:val="clear" w:color="auto" w:fill="FFFFFF"/>
        </w:rPr>
        <w:t>Miller</w:t>
      </w:r>
      <w:r>
        <w:rPr>
          <w:color w:val="222222"/>
          <w:shd w:val="clear" w:color="auto" w:fill="FFFFFF"/>
        </w:rPr>
        <w:t xml:space="preserve"> et al., 2019)</w:t>
      </w:r>
      <w:r>
        <w:rPr>
          <w:color w:val="0E101A"/>
        </w:rPr>
        <w:t>. The restoration power reduced the massive rate of migration caused by the lack of power on the island. </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t xml:space="preserve">Additionally, the reconstruction of damaged roads started in order to facilitate easy movement of people and supplies. Transport is important for economic development in a country. Therefore, the U.S. Department of urban development helped rebuild public roads to improve the accessibility of all areas in the highland. The housing department also offered </w:t>
      </w:r>
      <w:r>
        <w:rPr>
          <w:color w:val="0E101A"/>
        </w:rPr>
        <w:lastRenderedPageBreak/>
        <w:t>financial support to the residents to build new houses as the island continued to stabilize. The island has seen a faster comeback in road reconstruction and rebuilding of houses since it attracts a high number of tourists. </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t>The hurricane significantly impacted the economic sector. However, the government has made reputable progress by offering loans to small business owners and creation of employment opportunities. FEMA approved $13 billion to help create business opportunities for the residents and other sectors such as education</w:t>
      </w:r>
      <w:r>
        <w:rPr>
          <w:color w:val="0E101A"/>
        </w:rPr>
        <w:t xml:space="preserve"> (“</w:t>
      </w:r>
      <w:r>
        <w:rPr>
          <w:color w:val="222222"/>
          <w:shd w:val="clear" w:color="auto" w:fill="FFFFFF"/>
        </w:rPr>
        <w:t xml:space="preserve">FEMA.gov, </w:t>
      </w:r>
      <w:r w:rsidRPr="00D22D9F">
        <w:rPr>
          <w:color w:val="222222"/>
          <w:shd w:val="clear" w:color="auto" w:fill="FFFFFF"/>
        </w:rPr>
        <w:t>2020</w:t>
      </w:r>
      <w:r>
        <w:rPr>
          <w:color w:val="222222"/>
          <w:shd w:val="clear" w:color="auto" w:fill="FFFFFF"/>
        </w:rPr>
        <w:t>”</w:t>
      </w:r>
      <w:r w:rsidRPr="00D22D9F">
        <w:rPr>
          <w:color w:val="222222"/>
          <w:shd w:val="clear" w:color="auto" w:fill="FFFFFF"/>
        </w:rPr>
        <w:t>).</w:t>
      </w:r>
      <w:r>
        <w:rPr>
          <w:color w:val="0E101A"/>
        </w:rPr>
        <w:t xml:space="preserve"> In addition, business owners have been able to restart new ventures to improve the island's economic state. The government offered subsidies and low interests to farmers to boost their net income and improve their living standards. </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t>The health sector also implemented several policies in the recovery process from the effects of Hurricane Maria. Flooding increased the rate of disease infections on the island. As a result, vaccination programs and prevention measures were highly enforced by public health professions. High levels of hygiene practices were observed moving forward, and clinical recommendations were made available in all healthcare facilities</w:t>
      </w:r>
      <w:r>
        <w:rPr>
          <w:color w:val="0E101A"/>
        </w:rPr>
        <w:t xml:space="preserve"> (</w:t>
      </w:r>
      <w:r>
        <w:rPr>
          <w:lang w:val="en-GB"/>
        </w:rPr>
        <w:t xml:space="preserve">Thomas, </w:t>
      </w:r>
      <w:r w:rsidRPr="00D22D9F">
        <w:rPr>
          <w:lang w:val="en-GB"/>
        </w:rPr>
        <w:t>2017).</w:t>
      </w:r>
      <w:r>
        <w:rPr>
          <w:color w:val="0E101A"/>
        </w:rPr>
        <w:t xml:space="preserve"> Although the recovery process is still in progress, Puerto Rico has displayed a dramatic bounce back from the effects of Hurricane Maria.</w:t>
      </w:r>
    </w:p>
    <w:p w:rsidR="00727882" w:rsidRDefault="00727882" w:rsidP="00F8795D">
      <w:pPr>
        <w:pStyle w:val="NormalWeb"/>
        <w:spacing w:before="0" w:beforeAutospacing="0" w:after="160" w:afterAutospacing="0" w:line="480" w:lineRule="auto"/>
        <w:ind w:firstLine="720"/>
        <w:contextualSpacing/>
        <w:jc w:val="center"/>
        <w:rPr>
          <w:color w:val="0E101A"/>
        </w:rPr>
      </w:pPr>
      <w:r>
        <w:rPr>
          <w:rStyle w:val="Strong"/>
          <w:color w:val="0E101A"/>
        </w:rPr>
        <w:t>Recommendations</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t>According to FEMA, 40% of small business owners do not reopen their business after natural disasters such as hurricanes. Natural disasters also increase the rate of unemployment, leading to a poor economy. Therefore, effective measures should be taken to lessen the impacts of potential disasters. There are several recommendations on how public health professionals and advocates can improve emergency management plans in case hurricanes occur.</w:t>
      </w:r>
    </w:p>
    <w:p w:rsidR="00727882" w:rsidRDefault="00727882" w:rsidP="00727882">
      <w:pPr>
        <w:pStyle w:val="NormalWeb"/>
        <w:spacing w:before="0" w:beforeAutospacing="0" w:after="160" w:afterAutospacing="0" w:line="480" w:lineRule="auto"/>
        <w:ind w:firstLine="720"/>
        <w:contextualSpacing/>
        <w:rPr>
          <w:color w:val="0E101A"/>
        </w:rPr>
      </w:pPr>
      <w:r>
        <w:rPr>
          <w:rStyle w:val="Strong"/>
          <w:color w:val="0E101A"/>
        </w:rPr>
        <w:lastRenderedPageBreak/>
        <w:t>Spread a Disaster Mitigation Mindset</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t xml:space="preserve">Disasters are unpredictable but effective preparedness can reduce the impact on properties and residents. Public health professions should develop a flexible and formalized mitigation plan to respond well to during a disaster. They should provide emergency water storage facilities and a supply system in place to ensure all people have access to water in case of a potential hurricane. Additionally, public health advocates should research risky regions and set </w:t>
      </w:r>
      <w:r w:rsidR="00F8795D">
        <w:rPr>
          <w:color w:val="0E101A"/>
        </w:rPr>
        <w:t xml:space="preserve">safety standards in the areas. </w:t>
      </w:r>
      <w:r w:rsidR="00F8795D">
        <w:rPr>
          <w:color w:val="222222"/>
          <w:shd w:val="clear" w:color="auto" w:fill="FFFFFF"/>
        </w:rPr>
        <w:t>Straub (2020) argues that, t</w:t>
      </w:r>
      <w:r>
        <w:rPr>
          <w:color w:val="0E101A"/>
        </w:rPr>
        <w:t>he mapping of risky zones is essential in understanding areas that require attention. The community should also be involved in emergency preparedness to increase awareness and reduce the magnitude of hurricane effects. Resilience in response to a disaster depends on knowledge. Therefore, educating and engaging the community offers an opportunity to understand potential risks and the importance of proper planning.</w:t>
      </w:r>
    </w:p>
    <w:p w:rsidR="00727882" w:rsidRDefault="00727882" w:rsidP="00727882">
      <w:pPr>
        <w:pStyle w:val="NormalWeb"/>
        <w:spacing w:before="0" w:beforeAutospacing="0" w:after="160" w:afterAutospacing="0" w:line="480" w:lineRule="auto"/>
        <w:ind w:firstLine="720"/>
        <w:contextualSpacing/>
        <w:rPr>
          <w:color w:val="0E101A"/>
        </w:rPr>
      </w:pPr>
      <w:r>
        <w:rPr>
          <w:rStyle w:val="Strong"/>
          <w:color w:val="0E101A"/>
        </w:rPr>
        <w:t>Development of Assistance Agreements and Mutual Aids</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t>When natural disasters happen, they rarely leave the residents and property unscathed. Community-based emergency programs and local aid organizations may not be effective during hurricanes. Therefore, mutual aid and assistance agreements from international agencies may be the best solution in handling future di</w:t>
      </w:r>
      <w:r w:rsidR="00F8795D">
        <w:rPr>
          <w:color w:val="0E101A"/>
        </w:rPr>
        <w:t>sasters. Coordination with different</w:t>
      </w:r>
      <w:r>
        <w:rPr>
          <w:color w:val="0E101A"/>
        </w:rPr>
        <w:t xml:space="preserve"> agencies offers immediate and effective mechanisms before, during, and after disasters</w:t>
      </w:r>
      <w:r w:rsidR="00F8795D">
        <w:rPr>
          <w:color w:val="0E101A"/>
        </w:rPr>
        <w:t xml:space="preserve"> (</w:t>
      </w:r>
      <w:proofErr w:type="spellStart"/>
      <w:r w:rsidR="00F8795D" w:rsidRPr="00D22D9F">
        <w:rPr>
          <w:color w:val="222222"/>
          <w:shd w:val="clear" w:color="auto" w:fill="FFFFFF"/>
        </w:rPr>
        <w:t>Román</w:t>
      </w:r>
      <w:proofErr w:type="spellEnd"/>
      <w:r w:rsidR="00F8795D">
        <w:rPr>
          <w:color w:val="222222"/>
          <w:shd w:val="clear" w:color="auto" w:fill="FFFFFF"/>
        </w:rPr>
        <w:t xml:space="preserve"> et al., 2019)</w:t>
      </w:r>
      <w:r>
        <w:rPr>
          <w:color w:val="0E101A"/>
        </w:rPr>
        <w:t>. Further, ensuring businesses and property can help in the management of the future disaster. People can use insurance covers when a future hurricane strikes, making it easy to recover from the effects of the disaster. Public health professions should maintain strong aid agreements and insurance systems to help in the management of future disasters.</w:t>
      </w:r>
    </w:p>
    <w:p w:rsidR="00727882" w:rsidRDefault="00727882" w:rsidP="00727882">
      <w:pPr>
        <w:pStyle w:val="NormalWeb"/>
        <w:spacing w:before="0" w:beforeAutospacing="0" w:after="160" w:afterAutospacing="0" w:line="480" w:lineRule="auto"/>
        <w:ind w:firstLine="720"/>
        <w:contextualSpacing/>
        <w:rPr>
          <w:color w:val="0E101A"/>
        </w:rPr>
      </w:pPr>
      <w:r>
        <w:rPr>
          <w:rStyle w:val="Strong"/>
          <w:color w:val="0E101A"/>
        </w:rPr>
        <w:t>Use of Early Warning System</w:t>
      </w:r>
    </w:p>
    <w:p w:rsidR="00727882" w:rsidRDefault="00727882" w:rsidP="00727882">
      <w:pPr>
        <w:pStyle w:val="NormalWeb"/>
        <w:spacing w:before="0" w:beforeAutospacing="0" w:after="160" w:afterAutospacing="0" w:line="480" w:lineRule="auto"/>
        <w:ind w:firstLine="720"/>
        <w:contextualSpacing/>
        <w:rPr>
          <w:color w:val="0E101A"/>
        </w:rPr>
      </w:pPr>
      <w:r>
        <w:rPr>
          <w:color w:val="0E101A"/>
        </w:rPr>
        <w:lastRenderedPageBreak/>
        <w:t>Early warning systems are crucial in the preparation of disasters and can prevent material loss and save lives. The early alert systems should be calibrated to respond to different types of emergencies that are likely to occur in the region. The information allows people to take action before a disaster, thus developing appropriate response mechanisms. For instance, the National Hurricane Center (NHC) provides warnings of tropical storm winds 36 hours before they occur. Therefore, residents have enough time to relocate from risky areas to safety zones. Public health professionals should implement an early warning system in the future to lessen the impact of potential disasters. </w:t>
      </w:r>
    </w:p>
    <w:p w:rsidR="00727882" w:rsidRDefault="00727882" w:rsidP="00F8795D">
      <w:pPr>
        <w:pStyle w:val="NormalWeb"/>
        <w:spacing w:before="0" w:beforeAutospacing="0" w:after="160" w:afterAutospacing="0" w:line="480" w:lineRule="auto"/>
        <w:ind w:firstLine="720"/>
        <w:contextualSpacing/>
        <w:jc w:val="center"/>
        <w:rPr>
          <w:color w:val="0E101A"/>
        </w:rPr>
      </w:pPr>
      <w:r>
        <w:rPr>
          <w:rStyle w:val="Strong"/>
          <w:color w:val="0E101A"/>
        </w:rPr>
        <w:t>Conclusion</w:t>
      </w:r>
    </w:p>
    <w:p w:rsidR="00727882" w:rsidRPr="00F8795D" w:rsidRDefault="00727882" w:rsidP="00F8795D">
      <w:pPr>
        <w:pStyle w:val="NormalWeb"/>
        <w:spacing w:before="0" w:beforeAutospacing="0" w:after="160" w:afterAutospacing="0" w:line="480" w:lineRule="auto"/>
        <w:ind w:firstLine="720"/>
        <w:contextualSpacing/>
        <w:rPr>
          <w:color w:val="0E101A"/>
        </w:rPr>
      </w:pPr>
      <w:r>
        <w:rPr>
          <w:color w:val="0E101A"/>
        </w:rPr>
        <w:t>Hurricane Maria was a huge setback to the economy of Puerto Rico. Although there was a significant level of preparedness and response to the storm, the island is yet to recover to full capacity. The economy was highly affected by the destruction of businesses and agricultural farms. Loans from other developed countries led to the accumulation of interest after the hurricane, causing the risk of bankruptcy</w:t>
      </w:r>
      <w:r>
        <w:rPr>
          <w:color w:val="0E101A"/>
        </w:rPr>
        <w:t xml:space="preserve"> (</w:t>
      </w:r>
      <w:proofErr w:type="spellStart"/>
      <w:r>
        <w:rPr>
          <w:color w:val="222222"/>
          <w:shd w:val="clear" w:color="auto" w:fill="FFFFFF"/>
        </w:rPr>
        <w:t>Meléndez</w:t>
      </w:r>
      <w:proofErr w:type="spellEnd"/>
      <w:r>
        <w:rPr>
          <w:color w:val="222222"/>
          <w:shd w:val="clear" w:color="auto" w:fill="FFFFFF"/>
        </w:rPr>
        <w:t xml:space="preserve"> &amp; Hinojosa, 2017)</w:t>
      </w:r>
      <w:r>
        <w:rPr>
          <w:color w:val="0E101A"/>
        </w:rPr>
        <w:t>. The power outage on the island affected the operation of manufacturing industries, thus increasing poverty levels. In addition, the population declined, leading to a diminished labor supply. However, some sectors were able to respond positively to the disaster and recovered quickly. The health sector was well prepared and used backup generators even during the power breakdown to keep healthcare services running. The pharmaceutical industry and healthcare remain to be the backbone of Puerto Rico's economy. The tourism sector was also able to rejuvenate in a short while, and tourists started visiting the island. Although Puerto Rico suffered a severe economic breakdown after Hurricane Maria, the government has implemented necessary strategies to help in the recovery process.</w:t>
      </w:r>
    </w:p>
    <w:p w:rsidR="001A6102" w:rsidRPr="00F8795D" w:rsidRDefault="001A6102" w:rsidP="00F8795D">
      <w:pPr>
        <w:spacing w:line="480" w:lineRule="auto"/>
        <w:ind w:left="720" w:hanging="720"/>
        <w:contextualSpacing/>
        <w:jc w:val="center"/>
        <w:rPr>
          <w:rFonts w:ascii="Times New Roman" w:hAnsi="Times New Roman" w:cs="Times New Roman"/>
          <w:b/>
          <w:sz w:val="24"/>
          <w:szCs w:val="24"/>
          <w:lang w:val="en-GB"/>
        </w:rPr>
      </w:pPr>
      <w:r w:rsidRPr="00F8795D">
        <w:rPr>
          <w:rFonts w:ascii="Times New Roman" w:hAnsi="Times New Roman" w:cs="Times New Roman"/>
          <w:b/>
          <w:sz w:val="24"/>
          <w:szCs w:val="24"/>
          <w:lang w:val="en-GB"/>
        </w:rPr>
        <w:lastRenderedPageBreak/>
        <w:t>References</w:t>
      </w:r>
    </w:p>
    <w:p w:rsidR="00F8795D" w:rsidRPr="00D22D9F" w:rsidRDefault="00F8795D" w:rsidP="00F8795D">
      <w:pPr>
        <w:spacing w:line="480" w:lineRule="auto"/>
        <w:ind w:left="720" w:hanging="720"/>
        <w:contextualSpacing/>
        <w:rPr>
          <w:rFonts w:ascii="Times New Roman" w:hAnsi="Times New Roman" w:cs="Times New Roman"/>
          <w:sz w:val="24"/>
          <w:szCs w:val="24"/>
          <w:lang w:val="en-GB"/>
        </w:rPr>
      </w:pPr>
      <w:proofErr w:type="spellStart"/>
      <w:r w:rsidRPr="00D22D9F">
        <w:rPr>
          <w:rFonts w:ascii="Times New Roman" w:hAnsi="Times New Roman" w:cs="Times New Roman"/>
          <w:sz w:val="24"/>
          <w:szCs w:val="24"/>
          <w:lang w:val="en-GB"/>
        </w:rPr>
        <w:t>Azola</w:t>
      </w:r>
      <w:proofErr w:type="spellEnd"/>
      <w:r w:rsidRPr="00D22D9F">
        <w:rPr>
          <w:rFonts w:ascii="Times New Roman" w:hAnsi="Times New Roman" w:cs="Times New Roman"/>
          <w:sz w:val="24"/>
          <w:szCs w:val="24"/>
          <w:lang w:val="en-GB"/>
        </w:rPr>
        <w:t xml:space="preserve">, R. (2018). Emergency Preparedness and Hurricane Maria: The Experience of a Regional Academic Medical </w:t>
      </w:r>
      <w:proofErr w:type="spellStart"/>
      <w:r w:rsidRPr="00D22D9F">
        <w:rPr>
          <w:rFonts w:ascii="Times New Roman" w:hAnsi="Times New Roman" w:cs="Times New Roman"/>
          <w:sz w:val="24"/>
          <w:szCs w:val="24"/>
          <w:lang w:val="en-GB"/>
        </w:rPr>
        <w:t>Center</w:t>
      </w:r>
      <w:proofErr w:type="spellEnd"/>
      <w:r w:rsidRPr="00D22D9F">
        <w:rPr>
          <w:rFonts w:ascii="Times New Roman" w:hAnsi="Times New Roman" w:cs="Times New Roman"/>
          <w:sz w:val="24"/>
          <w:szCs w:val="24"/>
          <w:lang w:val="en-GB"/>
        </w:rPr>
        <w:t xml:space="preserve"> in Southwest Puerto Rico.</w:t>
      </w:r>
    </w:p>
    <w:p w:rsidR="00F8795D" w:rsidRPr="00D22D9F" w:rsidRDefault="00F8795D" w:rsidP="00F8795D">
      <w:pPr>
        <w:spacing w:line="480" w:lineRule="auto"/>
        <w:ind w:left="720" w:hanging="720"/>
        <w:contextualSpacing/>
        <w:rPr>
          <w:rFonts w:ascii="Times New Roman" w:hAnsi="Times New Roman" w:cs="Times New Roman"/>
          <w:color w:val="222222"/>
          <w:sz w:val="24"/>
          <w:szCs w:val="24"/>
          <w:shd w:val="clear" w:color="auto" w:fill="FFFFFF"/>
        </w:rPr>
      </w:pPr>
      <w:r w:rsidRPr="00D22D9F">
        <w:rPr>
          <w:rFonts w:ascii="Times New Roman" w:hAnsi="Times New Roman" w:cs="Times New Roman"/>
          <w:color w:val="222222"/>
          <w:sz w:val="24"/>
          <w:szCs w:val="24"/>
          <w:shd w:val="clear" w:color="auto" w:fill="FFFFFF"/>
        </w:rPr>
        <w:t xml:space="preserve">FEMA.gov. (2020). </w:t>
      </w:r>
      <w:r>
        <w:rPr>
          <w:rFonts w:ascii="Times New Roman" w:hAnsi="Times New Roman" w:cs="Times New Roman"/>
          <w:color w:val="222222"/>
          <w:sz w:val="24"/>
          <w:szCs w:val="24"/>
          <w:shd w:val="clear" w:color="auto" w:fill="FFFFFF"/>
        </w:rPr>
        <w:t>DR-4339 Hurricane Maria b</w:t>
      </w:r>
      <w:r w:rsidRPr="00D22D9F">
        <w:rPr>
          <w:rFonts w:ascii="Times New Roman" w:hAnsi="Times New Roman" w:cs="Times New Roman"/>
          <w:color w:val="222222"/>
          <w:sz w:val="24"/>
          <w:szCs w:val="24"/>
          <w:shd w:val="clear" w:color="auto" w:fill="FFFFFF"/>
        </w:rPr>
        <w:t xml:space="preserve">y </w:t>
      </w:r>
      <w:proofErr w:type="gramStart"/>
      <w:r w:rsidRPr="00D22D9F">
        <w:rPr>
          <w:rFonts w:ascii="Times New Roman" w:hAnsi="Times New Roman" w:cs="Times New Roman"/>
          <w:color w:val="222222"/>
          <w:sz w:val="24"/>
          <w:szCs w:val="24"/>
          <w:shd w:val="clear" w:color="auto" w:fill="FFFFFF"/>
        </w:rPr>
        <w:t>The</w:t>
      </w:r>
      <w:proofErr w:type="gramEnd"/>
      <w:r w:rsidRPr="00D22D9F">
        <w:rPr>
          <w:rFonts w:ascii="Times New Roman" w:hAnsi="Times New Roman" w:cs="Times New Roman"/>
          <w:color w:val="222222"/>
          <w:sz w:val="24"/>
          <w:szCs w:val="24"/>
          <w:shd w:val="clear" w:color="auto" w:fill="FFFFFF"/>
        </w:rPr>
        <w:t xml:space="preserve"> Numbers</w:t>
      </w:r>
    </w:p>
    <w:p w:rsidR="00F8795D" w:rsidRPr="00D22D9F" w:rsidRDefault="00F8795D" w:rsidP="00F8795D">
      <w:pPr>
        <w:spacing w:line="480" w:lineRule="auto"/>
        <w:ind w:left="720" w:hanging="720"/>
        <w:contextualSpacing/>
        <w:rPr>
          <w:rFonts w:ascii="Times New Roman" w:hAnsi="Times New Roman" w:cs="Times New Roman"/>
          <w:color w:val="222222"/>
          <w:sz w:val="24"/>
          <w:szCs w:val="24"/>
          <w:shd w:val="clear" w:color="auto" w:fill="FFFFFF"/>
        </w:rPr>
      </w:pPr>
      <w:r w:rsidRPr="00D22D9F">
        <w:rPr>
          <w:rFonts w:ascii="Times New Roman" w:hAnsi="Times New Roman" w:cs="Times New Roman"/>
          <w:color w:val="222222"/>
          <w:sz w:val="24"/>
          <w:szCs w:val="24"/>
          <w:shd w:val="clear" w:color="auto" w:fill="FFFFFF"/>
        </w:rPr>
        <w:t>Hu, T., &amp; Smith, R. B. (2018). The impact of Hurricane Maria on the vegetation of Dominica and Puerto Rico using multispectral remote sensing. </w:t>
      </w:r>
      <w:r w:rsidRPr="00D22D9F">
        <w:rPr>
          <w:rFonts w:ascii="Times New Roman" w:hAnsi="Times New Roman" w:cs="Times New Roman"/>
          <w:i/>
          <w:iCs/>
          <w:color w:val="222222"/>
          <w:sz w:val="24"/>
          <w:szCs w:val="24"/>
          <w:shd w:val="clear" w:color="auto" w:fill="FFFFFF"/>
        </w:rPr>
        <w:t>Remote Sensing</w:t>
      </w:r>
      <w:r w:rsidRPr="00D22D9F">
        <w:rPr>
          <w:rFonts w:ascii="Times New Roman" w:hAnsi="Times New Roman" w:cs="Times New Roman"/>
          <w:color w:val="222222"/>
          <w:sz w:val="24"/>
          <w:szCs w:val="24"/>
          <w:shd w:val="clear" w:color="auto" w:fill="FFFFFF"/>
        </w:rPr>
        <w:t>, </w:t>
      </w:r>
      <w:r w:rsidRPr="00D22D9F">
        <w:rPr>
          <w:rFonts w:ascii="Times New Roman" w:hAnsi="Times New Roman" w:cs="Times New Roman"/>
          <w:i/>
          <w:iCs/>
          <w:color w:val="222222"/>
          <w:sz w:val="24"/>
          <w:szCs w:val="24"/>
          <w:shd w:val="clear" w:color="auto" w:fill="FFFFFF"/>
        </w:rPr>
        <w:t>10</w:t>
      </w:r>
      <w:r w:rsidRPr="00D22D9F">
        <w:rPr>
          <w:rFonts w:ascii="Times New Roman" w:hAnsi="Times New Roman" w:cs="Times New Roman"/>
          <w:color w:val="222222"/>
          <w:sz w:val="24"/>
          <w:szCs w:val="24"/>
          <w:shd w:val="clear" w:color="auto" w:fill="FFFFFF"/>
        </w:rPr>
        <w:t>(6), 827.</w:t>
      </w:r>
    </w:p>
    <w:p w:rsidR="001A6102" w:rsidRPr="00D22D9F" w:rsidRDefault="001A6102" w:rsidP="00727882">
      <w:pPr>
        <w:spacing w:line="480" w:lineRule="auto"/>
        <w:ind w:left="720" w:hanging="720"/>
        <w:contextualSpacing/>
        <w:rPr>
          <w:rFonts w:ascii="Times New Roman" w:hAnsi="Times New Roman" w:cs="Times New Roman"/>
          <w:sz w:val="24"/>
          <w:szCs w:val="24"/>
          <w:lang w:val="en-GB"/>
        </w:rPr>
      </w:pPr>
      <w:r w:rsidRPr="00D22D9F">
        <w:rPr>
          <w:rFonts w:ascii="Times New Roman" w:hAnsi="Times New Roman" w:cs="Times New Roman"/>
          <w:sz w:val="24"/>
          <w:szCs w:val="24"/>
          <w:lang w:val="en-GB"/>
        </w:rPr>
        <w:t>MECO Inc. (2018). Ways to improve your community’s disaster preparedness.</w:t>
      </w:r>
    </w:p>
    <w:p w:rsidR="00D22D9F" w:rsidRPr="00D22D9F" w:rsidRDefault="00D22D9F" w:rsidP="00727882">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D22D9F">
        <w:rPr>
          <w:rFonts w:ascii="Times New Roman" w:hAnsi="Times New Roman" w:cs="Times New Roman"/>
          <w:color w:val="222222"/>
          <w:sz w:val="24"/>
          <w:szCs w:val="24"/>
          <w:shd w:val="clear" w:color="auto" w:fill="FFFFFF"/>
        </w:rPr>
        <w:t>Meléndez</w:t>
      </w:r>
      <w:proofErr w:type="spellEnd"/>
      <w:r w:rsidRPr="00D22D9F">
        <w:rPr>
          <w:rFonts w:ascii="Times New Roman" w:hAnsi="Times New Roman" w:cs="Times New Roman"/>
          <w:color w:val="222222"/>
          <w:sz w:val="24"/>
          <w:szCs w:val="24"/>
          <w:shd w:val="clear" w:color="auto" w:fill="FFFFFF"/>
        </w:rPr>
        <w:t>, E., &amp; Hinojosa, J. (2017). Estimates of post-hurricane Maria exodus from Puerto Rico. </w:t>
      </w:r>
      <w:r w:rsidRPr="00D22D9F">
        <w:rPr>
          <w:rFonts w:ascii="Times New Roman" w:hAnsi="Times New Roman" w:cs="Times New Roman"/>
          <w:i/>
          <w:iCs/>
          <w:color w:val="222222"/>
          <w:sz w:val="24"/>
          <w:szCs w:val="24"/>
          <w:shd w:val="clear" w:color="auto" w:fill="FFFFFF"/>
        </w:rPr>
        <w:t>Centro Voices</w:t>
      </w:r>
      <w:r w:rsidRPr="00D22D9F">
        <w:rPr>
          <w:rFonts w:ascii="Times New Roman" w:hAnsi="Times New Roman" w:cs="Times New Roman"/>
          <w:color w:val="222222"/>
          <w:sz w:val="24"/>
          <w:szCs w:val="24"/>
          <w:shd w:val="clear" w:color="auto" w:fill="FFFFFF"/>
        </w:rPr>
        <w:t>.</w:t>
      </w:r>
    </w:p>
    <w:p w:rsidR="00F8795D" w:rsidRPr="00D22D9F" w:rsidRDefault="00F8795D" w:rsidP="00F8795D">
      <w:pPr>
        <w:spacing w:line="480" w:lineRule="auto"/>
        <w:ind w:left="720" w:hanging="720"/>
        <w:contextualSpacing/>
        <w:rPr>
          <w:rFonts w:ascii="Times New Roman" w:hAnsi="Times New Roman" w:cs="Times New Roman"/>
          <w:color w:val="222222"/>
          <w:sz w:val="24"/>
          <w:szCs w:val="24"/>
          <w:shd w:val="clear" w:color="auto" w:fill="FFFFFF"/>
        </w:rPr>
      </w:pPr>
      <w:r w:rsidRPr="00D22D9F">
        <w:rPr>
          <w:rFonts w:ascii="Times New Roman" w:hAnsi="Times New Roman" w:cs="Times New Roman"/>
          <w:color w:val="222222"/>
          <w:sz w:val="24"/>
          <w:szCs w:val="24"/>
          <w:shd w:val="clear" w:color="auto" w:fill="FFFFFF"/>
        </w:rPr>
        <w:t xml:space="preserve">Miller, P. W., Kumar, A., Mote, T. L., </w:t>
      </w:r>
      <w:proofErr w:type="spellStart"/>
      <w:r w:rsidRPr="00D22D9F">
        <w:rPr>
          <w:rFonts w:ascii="Times New Roman" w:hAnsi="Times New Roman" w:cs="Times New Roman"/>
          <w:color w:val="222222"/>
          <w:sz w:val="24"/>
          <w:szCs w:val="24"/>
          <w:shd w:val="clear" w:color="auto" w:fill="FFFFFF"/>
        </w:rPr>
        <w:t>Moraes</w:t>
      </w:r>
      <w:proofErr w:type="spellEnd"/>
      <w:r w:rsidRPr="00D22D9F">
        <w:rPr>
          <w:rFonts w:ascii="Times New Roman" w:hAnsi="Times New Roman" w:cs="Times New Roman"/>
          <w:color w:val="222222"/>
          <w:sz w:val="24"/>
          <w:szCs w:val="24"/>
          <w:shd w:val="clear" w:color="auto" w:fill="FFFFFF"/>
        </w:rPr>
        <w:t>, F. D. S., &amp; Mishra, D. R. (2019). Persistent hydrological consequences of hurricane Maria in Puerto Rico. </w:t>
      </w:r>
      <w:r w:rsidRPr="00D22D9F">
        <w:rPr>
          <w:rFonts w:ascii="Times New Roman" w:hAnsi="Times New Roman" w:cs="Times New Roman"/>
          <w:i/>
          <w:iCs/>
          <w:color w:val="222222"/>
          <w:sz w:val="24"/>
          <w:szCs w:val="24"/>
          <w:shd w:val="clear" w:color="auto" w:fill="FFFFFF"/>
        </w:rPr>
        <w:t>Geophysical Research Letters</w:t>
      </w:r>
      <w:r w:rsidRPr="00D22D9F">
        <w:rPr>
          <w:rFonts w:ascii="Times New Roman" w:hAnsi="Times New Roman" w:cs="Times New Roman"/>
          <w:color w:val="222222"/>
          <w:sz w:val="24"/>
          <w:szCs w:val="24"/>
          <w:shd w:val="clear" w:color="auto" w:fill="FFFFFF"/>
        </w:rPr>
        <w:t>, </w:t>
      </w:r>
      <w:r w:rsidRPr="00D22D9F">
        <w:rPr>
          <w:rFonts w:ascii="Times New Roman" w:hAnsi="Times New Roman" w:cs="Times New Roman"/>
          <w:i/>
          <w:iCs/>
          <w:color w:val="222222"/>
          <w:sz w:val="24"/>
          <w:szCs w:val="24"/>
          <w:shd w:val="clear" w:color="auto" w:fill="FFFFFF"/>
        </w:rPr>
        <w:t>46</w:t>
      </w:r>
      <w:r w:rsidRPr="00D22D9F">
        <w:rPr>
          <w:rFonts w:ascii="Times New Roman" w:hAnsi="Times New Roman" w:cs="Times New Roman"/>
          <w:color w:val="222222"/>
          <w:sz w:val="24"/>
          <w:szCs w:val="24"/>
          <w:shd w:val="clear" w:color="auto" w:fill="FFFFFF"/>
        </w:rPr>
        <w:t>(3), 1413-1422.</w:t>
      </w:r>
    </w:p>
    <w:p w:rsidR="00F8795D" w:rsidRPr="00D22D9F" w:rsidRDefault="00F8795D" w:rsidP="00F8795D">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D22D9F">
        <w:rPr>
          <w:rFonts w:ascii="Times New Roman" w:hAnsi="Times New Roman" w:cs="Times New Roman"/>
          <w:color w:val="222222"/>
          <w:sz w:val="24"/>
          <w:szCs w:val="24"/>
          <w:shd w:val="clear" w:color="auto" w:fill="FFFFFF"/>
        </w:rPr>
        <w:t>Román</w:t>
      </w:r>
      <w:proofErr w:type="spellEnd"/>
      <w:r w:rsidRPr="00D22D9F">
        <w:rPr>
          <w:rFonts w:ascii="Times New Roman" w:hAnsi="Times New Roman" w:cs="Times New Roman"/>
          <w:color w:val="222222"/>
          <w:sz w:val="24"/>
          <w:szCs w:val="24"/>
          <w:shd w:val="clear" w:color="auto" w:fill="FFFFFF"/>
        </w:rPr>
        <w:t>, M. O., Stokes, E. C., Shrestha, R., Wang, Z., Schultz, L., Carlo, E. A. S</w:t>
      </w:r>
      <w:proofErr w:type="gramStart"/>
      <w:r w:rsidRPr="00D22D9F">
        <w:rPr>
          <w:rFonts w:ascii="Times New Roman" w:hAnsi="Times New Roman" w:cs="Times New Roman"/>
          <w:color w:val="222222"/>
          <w:sz w:val="24"/>
          <w:szCs w:val="24"/>
          <w:shd w:val="clear" w:color="auto" w:fill="FFFFFF"/>
        </w:rPr>
        <w:t>., ...</w:t>
      </w:r>
      <w:proofErr w:type="gramEnd"/>
      <w:r w:rsidRPr="00D22D9F">
        <w:rPr>
          <w:rFonts w:ascii="Times New Roman" w:hAnsi="Times New Roman" w:cs="Times New Roman"/>
          <w:color w:val="222222"/>
          <w:sz w:val="24"/>
          <w:szCs w:val="24"/>
          <w:shd w:val="clear" w:color="auto" w:fill="FFFFFF"/>
        </w:rPr>
        <w:t xml:space="preserve"> &amp; </w:t>
      </w:r>
      <w:proofErr w:type="spellStart"/>
      <w:r w:rsidRPr="00D22D9F">
        <w:rPr>
          <w:rFonts w:ascii="Times New Roman" w:hAnsi="Times New Roman" w:cs="Times New Roman"/>
          <w:color w:val="222222"/>
          <w:sz w:val="24"/>
          <w:szCs w:val="24"/>
          <w:shd w:val="clear" w:color="auto" w:fill="FFFFFF"/>
        </w:rPr>
        <w:t>Enenkel</w:t>
      </w:r>
      <w:proofErr w:type="spellEnd"/>
      <w:r w:rsidRPr="00D22D9F">
        <w:rPr>
          <w:rFonts w:ascii="Times New Roman" w:hAnsi="Times New Roman" w:cs="Times New Roman"/>
          <w:color w:val="222222"/>
          <w:sz w:val="24"/>
          <w:szCs w:val="24"/>
          <w:shd w:val="clear" w:color="auto" w:fill="FFFFFF"/>
        </w:rPr>
        <w:t>, M. (2019). Satellite-based assessment of electricity restoration efforts in Puerto Rico after Hurricane Maria. </w:t>
      </w:r>
      <w:proofErr w:type="spellStart"/>
      <w:r w:rsidRPr="00D22D9F">
        <w:rPr>
          <w:rFonts w:ascii="Times New Roman" w:hAnsi="Times New Roman" w:cs="Times New Roman"/>
          <w:i/>
          <w:iCs/>
          <w:color w:val="222222"/>
          <w:sz w:val="24"/>
          <w:szCs w:val="24"/>
          <w:shd w:val="clear" w:color="auto" w:fill="FFFFFF"/>
        </w:rPr>
        <w:t>PloS</w:t>
      </w:r>
      <w:proofErr w:type="spellEnd"/>
      <w:r w:rsidRPr="00D22D9F">
        <w:rPr>
          <w:rFonts w:ascii="Times New Roman" w:hAnsi="Times New Roman" w:cs="Times New Roman"/>
          <w:i/>
          <w:iCs/>
          <w:color w:val="222222"/>
          <w:sz w:val="24"/>
          <w:szCs w:val="24"/>
          <w:shd w:val="clear" w:color="auto" w:fill="FFFFFF"/>
        </w:rPr>
        <w:t xml:space="preserve"> one</w:t>
      </w:r>
      <w:r w:rsidRPr="00D22D9F">
        <w:rPr>
          <w:rFonts w:ascii="Times New Roman" w:hAnsi="Times New Roman" w:cs="Times New Roman"/>
          <w:color w:val="222222"/>
          <w:sz w:val="24"/>
          <w:szCs w:val="24"/>
          <w:shd w:val="clear" w:color="auto" w:fill="FFFFFF"/>
        </w:rPr>
        <w:t>, </w:t>
      </w:r>
      <w:r w:rsidRPr="00D22D9F">
        <w:rPr>
          <w:rFonts w:ascii="Times New Roman" w:hAnsi="Times New Roman" w:cs="Times New Roman"/>
          <w:i/>
          <w:iCs/>
          <w:color w:val="222222"/>
          <w:sz w:val="24"/>
          <w:szCs w:val="24"/>
          <w:shd w:val="clear" w:color="auto" w:fill="FFFFFF"/>
        </w:rPr>
        <w:t>14</w:t>
      </w:r>
      <w:r w:rsidRPr="00D22D9F">
        <w:rPr>
          <w:rFonts w:ascii="Times New Roman" w:hAnsi="Times New Roman" w:cs="Times New Roman"/>
          <w:color w:val="222222"/>
          <w:sz w:val="24"/>
          <w:szCs w:val="24"/>
          <w:shd w:val="clear" w:color="auto" w:fill="FFFFFF"/>
        </w:rPr>
        <w:t>(6), e0218883.</w:t>
      </w:r>
    </w:p>
    <w:p w:rsidR="00D22D9F" w:rsidRPr="00D22D9F" w:rsidRDefault="00D22D9F" w:rsidP="00727882">
      <w:pPr>
        <w:spacing w:line="480" w:lineRule="auto"/>
        <w:ind w:left="720" w:hanging="720"/>
        <w:contextualSpacing/>
        <w:rPr>
          <w:rFonts w:ascii="Times New Roman" w:hAnsi="Times New Roman" w:cs="Times New Roman"/>
          <w:color w:val="222222"/>
          <w:sz w:val="24"/>
          <w:szCs w:val="24"/>
          <w:shd w:val="clear" w:color="auto" w:fill="FFFFFF"/>
        </w:rPr>
      </w:pPr>
      <w:r w:rsidRPr="00D22D9F">
        <w:rPr>
          <w:rFonts w:ascii="Times New Roman" w:hAnsi="Times New Roman" w:cs="Times New Roman"/>
          <w:color w:val="222222"/>
          <w:sz w:val="24"/>
          <w:szCs w:val="24"/>
          <w:shd w:val="clear" w:color="auto" w:fill="FFFFFF"/>
        </w:rPr>
        <w:t>Santos-</w:t>
      </w:r>
      <w:proofErr w:type="spellStart"/>
      <w:r w:rsidRPr="00D22D9F">
        <w:rPr>
          <w:rFonts w:ascii="Times New Roman" w:hAnsi="Times New Roman" w:cs="Times New Roman"/>
          <w:color w:val="222222"/>
          <w:sz w:val="24"/>
          <w:szCs w:val="24"/>
          <w:shd w:val="clear" w:color="auto" w:fill="FFFFFF"/>
        </w:rPr>
        <w:t>Burgoa</w:t>
      </w:r>
      <w:proofErr w:type="spellEnd"/>
      <w:r w:rsidRPr="00D22D9F">
        <w:rPr>
          <w:rFonts w:ascii="Times New Roman" w:hAnsi="Times New Roman" w:cs="Times New Roman"/>
          <w:color w:val="222222"/>
          <w:sz w:val="24"/>
          <w:szCs w:val="24"/>
          <w:shd w:val="clear" w:color="auto" w:fill="FFFFFF"/>
        </w:rPr>
        <w:t xml:space="preserve">, C., Sandberg, J., </w:t>
      </w:r>
      <w:proofErr w:type="spellStart"/>
      <w:r w:rsidRPr="00D22D9F">
        <w:rPr>
          <w:rFonts w:ascii="Times New Roman" w:hAnsi="Times New Roman" w:cs="Times New Roman"/>
          <w:color w:val="222222"/>
          <w:sz w:val="24"/>
          <w:szCs w:val="24"/>
          <w:shd w:val="clear" w:color="auto" w:fill="FFFFFF"/>
        </w:rPr>
        <w:t>Suárez</w:t>
      </w:r>
      <w:proofErr w:type="spellEnd"/>
      <w:r w:rsidRPr="00D22D9F">
        <w:rPr>
          <w:rFonts w:ascii="Times New Roman" w:hAnsi="Times New Roman" w:cs="Times New Roman"/>
          <w:color w:val="222222"/>
          <w:sz w:val="24"/>
          <w:szCs w:val="24"/>
          <w:shd w:val="clear" w:color="auto" w:fill="FFFFFF"/>
        </w:rPr>
        <w:t xml:space="preserve">, E., Goldman-Hawes, A., </w:t>
      </w:r>
      <w:proofErr w:type="spellStart"/>
      <w:r w:rsidRPr="00D22D9F">
        <w:rPr>
          <w:rFonts w:ascii="Times New Roman" w:hAnsi="Times New Roman" w:cs="Times New Roman"/>
          <w:color w:val="222222"/>
          <w:sz w:val="24"/>
          <w:szCs w:val="24"/>
          <w:shd w:val="clear" w:color="auto" w:fill="FFFFFF"/>
        </w:rPr>
        <w:t>Zeger</w:t>
      </w:r>
      <w:proofErr w:type="spellEnd"/>
      <w:r w:rsidRPr="00D22D9F">
        <w:rPr>
          <w:rFonts w:ascii="Times New Roman" w:hAnsi="Times New Roman" w:cs="Times New Roman"/>
          <w:color w:val="222222"/>
          <w:sz w:val="24"/>
          <w:szCs w:val="24"/>
          <w:shd w:val="clear" w:color="auto" w:fill="FFFFFF"/>
        </w:rPr>
        <w:t>, S., Garcia-Meza, A</w:t>
      </w:r>
      <w:proofErr w:type="gramStart"/>
      <w:r w:rsidRPr="00D22D9F">
        <w:rPr>
          <w:rFonts w:ascii="Times New Roman" w:hAnsi="Times New Roman" w:cs="Times New Roman"/>
          <w:color w:val="222222"/>
          <w:sz w:val="24"/>
          <w:szCs w:val="24"/>
          <w:shd w:val="clear" w:color="auto" w:fill="FFFFFF"/>
        </w:rPr>
        <w:t>., ...</w:t>
      </w:r>
      <w:proofErr w:type="gramEnd"/>
      <w:r w:rsidRPr="00D22D9F">
        <w:rPr>
          <w:rFonts w:ascii="Times New Roman" w:hAnsi="Times New Roman" w:cs="Times New Roman"/>
          <w:color w:val="222222"/>
          <w:sz w:val="24"/>
          <w:szCs w:val="24"/>
          <w:shd w:val="clear" w:color="auto" w:fill="FFFFFF"/>
        </w:rPr>
        <w:t xml:space="preserve"> &amp; Goldman, L. (2018). Differential and persistent risk of excess mortality from Hurricane Maria in Puerto Rico: a time-series analysis. </w:t>
      </w:r>
      <w:r w:rsidRPr="00D22D9F">
        <w:rPr>
          <w:rFonts w:ascii="Times New Roman" w:hAnsi="Times New Roman" w:cs="Times New Roman"/>
          <w:i/>
          <w:iCs/>
          <w:color w:val="222222"/>
          <w:sz w:val="24"/>
          <w:szCs w:val="24"/>
          <w:shd w:val="clear" w:color="auto" w:fill="FFFFFF"/>
        </w:rPr>
        <w:t>The Lancet Planetary Health</w:t>
      </w:r>
      <w:r w:rsidRPr="00D22D9F">
        <w:rPr>
          <w:rFonts w:ascii="Times New Roman" w:hAnsi="Times New Roman" w:cs="Times New Roman"/>
          <w:color w:val="222222"/>
          <w:sz w:val="24"/>
          <w:szCs w:val="24"/>
          <w:shd w:val="clear" w:color="auto" w:fill="FFFFFF"/>
        </w:rPr>
        <w:t>, </w:t>
      </w:r>
      <w:r w:rsidRPr="00D22D9F">
        <w:rPr>
          <w:rFonts w:ascii="Times New Roman" w:hAnsi="Times New Roman" w:cs="Times New Roman"/>
          <w:i/>
          <w:iCs/>
          <w:color w:val="222222"/>
          <w:sz w:val="24"/>
          <w:szCs w:val="24"/>
          <w:shd w:val="clear" w:color="auto" w:fill="FFFFFF"/>
        </w:rPr>
        <w:t>2</w:t>
      </w:r>
      <w:r w:rsidRPr="00D22D9F">
        <w:rPr>
          <w:rFonts w:ascii="Times New Roman" w:hAnsi="Times New Roman" w:cs="Times New Roman"/>
          <w:color w:val="222222"/>
          <w:sz w:val="24"/>
          <w:szCs w:val="24"/>
          <w:shd w:val="clear" w:color="auto" w:fill="FFFFFF"/>
        </w:rPr>
        <w:t>(11), e478-e488.</w:t>
      </w:r>
    </w:p>
    <w:p w:rsidR="00D22D9F" w:rsidRPr="00D22D9F" w:rsidRDefault="00D22D9F" w:rsidP="00727882">
      <w:pPr>
        <w:spacing w:line="480" w:lineRule="auto"/>
        <w:ind w:left="720" w:hanging="720"/>
        <w:contextualSpacing/>
        <w:rPr>
          <w:rFonts w:ascii="Times New Roman" w:hAnsi="Times New Roman" w:cs="Times New Roman"/>
          <w:color w:val="222222"/>
          <w:sz w:val="24"/>
          <w:szCs w:val="24"/>
          <w:shd w:val="clear" w:color="auto" w:fill="FFFFFF"/>
        </w:rPr>
      </w:pPr>
      <w:r w:rsidRPr="00D22D9F">
        <w:rPr>
          <w:rFonts w:ascii="Times New Roman" w:hAnsi="Times New Roman" w:cs="Times New Roman"/>
          <w:color w:val="222222"/>
          <w:sz w:val="24"/>
          <w:szCs w:val="24"/>
          <w:shd w:val="clear" w:color="auto" w:fill="FFFFFF"/>
        </w:rPr>
        <w:t>Straub, A. M. (2020). Natural disasters don’t kill people, governments kill people:” hurricane Maria, Puerto Rico–</w:t>
      </w:r>
      <w:proofErr w:type="spellStart"/>
      <w:r w:rsidRPr="00D22D9F">
        <w:rPr>
          <w:rFonts w:ascii="Times New Roman" w:hAnsi="Times New Roman" w:cs="Times New Roman"/>
          <w:color w:val="222222"/>
          <w:sz w:val="24"/>
          <w:szCs w:val="24"/>
          <w:shd w:val="clear" w:color="auto" w:fill="FFFFFF"/>
        </w:rPr>
        <w:t>recreancy</w:t>
      </w:r>
      <w:proofErr w:type="spellEnd"/>
      <w:r w:rsidRPr="00D22D9F">
        <w:rPr>
          <w:rFonts w:ascii="Times New Roman" w:hAnsi="Times New Roman" w:cs="Times New Roman"/>
          <w:color w:val="222222"/>
          <w:sz w:val="24"/>
          <w:szCs w:val="24"/>
          <w:shd w:val="clear" w:color="auto" w:fill="FFFFFF"/>
        </w:rPr>
        <w:t>, and ‘risk society. </w:t>
      </w:r>
      <w:r w:rsidRPr="00D22D9F">
        <w:rPr>
          <w:rFonts w:ascii="Times New Roman" w:hAnsi="Times New Roman" w:cs="Times New Roman"/>
          <w:i/>
          <w:iCs/>
          <w:color w:val="222222"/>
          <w:sz w:val="24"/>
          <w:szCs w:val="24"/>
          <w:shd w:val="clear" w:color="auto" w:fill="FFFFFF"/>
        </w:rPr>
        <w:t>Natural Hazards</w:t>
      </w:r>
      <w:r w:rsidRPr="00D22D9F">
        <w:rPr>
          <w:rFonts w:ascii="Times New Roman" w:hAnsi="Times New Roman" w:cs="Times New Roman"/>
          <w:color w:val="222222"/>
          <w:sz w:val="24"/>
          <w:szCs w:val="24"/>
          <w:shd w:val="clear" w:color="auto" w:fill="FFFFFF"/>
        </w:rPr>
        <w:t>, 1-19.</w:t>
      </w:r>
    </w:p>
    <w:p w:rsidR="00D22D9F" w:rsidRDefault="00D22D9F" w:rsidP="00727882">
      <w:pPr>
        <w:spacing w:line="480" w:lineRule="auto"/>
        <w:ind w:left="720" w:hanging="720"/>
        <w:contextualSpacing/>
        <w:rPr>
          <w:rFonts w:ascii="Times New Roman" w:hAnsi="Times New Roman" w:cs="Times New Roman"/>
          <w:sz w:val="24"/>
          <w:szCs w:val="24"/>
          <w:lang w:val="en-GB"/>
        </w:rPr>
      </w:pPr>
      <w:r w:rsidRPr="00D22D9F">
        <w:rPr>
          <w:rFonts w:ascii="Times New Roman" w:hAnsi="Times New Roman" w:cs="Times New Roman"/>
          <w:sz w:val="24"/>
          <w:szCs w:val="24"/>
          <w:lang w:val="en-GB"/>
        </w:rPr>
        <w:t>Thomas, A. (2017). Refugees International: Meeting the urgent needs of Hurricane Maria survivors in Puerto Rico.</w:t>
      </w:r>
    </w:p>
    <w:p w:rsidR="00F8795D" w:rsidRPr="00D22D9F" w:rsidRDefault="00F8795D" w:rsidP="00F8795D">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D22D9F">
        <w:rPr>
          <w:rFonts w:ascii="Times New Roman" w:hAnsi="Times New Roman" w:cs="Times New Roman"/>
          <w:color w:val="222222"/>
          <w:sz w:val="24"/>
          <w:szCs w:val="24"/>
          <w:shd w:val="clear" w:color="auto" w:fill="FFFFFF"/>
        </w:rPr>
        <w:lastRenderedPageBreak/>
        <w:t>Zorrilla</w:t>
      </w:r>
      <w:proofErr w:type="spellEnd"/>
      <w:r w:rsidRPr="00D22D9F">
        <w:rPr>
          <w:rFonts w:ascii="Times New Roman" w:hAnsi="Times New Roman" w:cs="Times New Roman"/>
          <w:color w:val="222222"/>
          <w:sz w:val="24"/>
          <w:szCs w:val="24"/>
          <w:shd w:val="clear" w:color="auto" w:fill="FFFFFF"/>
        </w:rPr>
        <w:t>, C. D. (2017). The view from Puerto Rico—Hurricane Maria and its aftermath. </w:t>
      </w:r>
      <w:r w:rsidRPr="00D22D9F">
        <w:rPr>
          <w:rFonts w:ascii="Times New Roman" w:hAnsi="Times New Roman" w:cs="Times New Roman"/>
          <w:i/>
          <w:iCs/>
          <w:color w:val="222222"/>
          <w:sz w:val="24"/>
          <w:szCs w:val="24"/>
          <w:shd w:val="clear" w:color="auto" w:fill="FFFFFF"/>
        </w:rPr>
        <w:t>New England journal of medicine</w:t>
      </w:r>
      <w:r w:rsidRPr="00D22D9F">
        <w:rPr>
          <w:rFonts w:ascii="Times New Roman" w:hAnsi="Times New Roman" w:cs="Times New Roman"/>
          <w:color w:val="222222"/>
          <w:sz w:val="24"/>
          <w:szCs w:val="24"/>
          <w:shd w:val="clear" w:color="auto" w:fill="FFFFFF"/>
        </w:rPr>
        <w:t>, </w:t>
      </w:r>
      <w:r w:rsidRPr="00D22D9F">
        <w:rPr>
          <w:rFonts w:ascii="Times New Roman" w:hAnsi="Times New Roman" w:cs="Times New Roman"/>
          <w:i/>
          <w:iCs/>
          <w:color w:val="222222"/>
          <w:sz w:val="24"/>
          <w:szCs w:val="24"/>
          <w:shd w:val="clear" w:color="auto" w:fill="FFFFFF"/>
        </w:rPr>
        <w:t>377</w:t>
      </w:r>
      <w:r w:rsidRPr="00D22D9F">
        <w:rPr>
          <w:rFonts w:ascii="Times New Roman" w:hAnsi="Times New Roman" w:cs="Times New Roman"/>
          <w:color w:val="222222"/>
          <w:sz w:val="24"/>
          <w:szCs w:val="24"/>
          <w:shd w:val="clear" w:color="auto" w:fill="FFFFFF"/>
        </w:rPr>
        <w:t>(19), 1801-1803.</w:t>
      </w:r>
    </w:p>
    <w:p w:rsidR="00F8795D" w:rsidRPr="00D22D9F" w:rsidRDefault="00F8795D" w:rsidP="00727882">
      <w:pPr>
        <w:spacing w:line="480" w:lineRule="auto"/>
        <w:ind w:left="720" w:hanging="720"/>
        <w:contextualSpacing/>
        <w:rPr>
          <w:rFonts w:ascii="Times New Roman" w:hAnsi="Times New Roman" w:cs="Times New Roman"/>
          <w:sz w:val="24"/>
          <w:szCs w:val="24"/>
          <w:lang w:val="en-GB"/>
        </w:rPr>
      </w:pPr>
    </w:p>
    <w:sectPr w:rsidR="00F8795D" w:rsidRPr="00D22D9F" w:rsidSect="009B04F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2B2B" w:rsidRDefault="006A2B2B" w:rsidP="009B04F4">
      <w:pPr>
        <w:spacing w:after="0" w:line="240" w:lineRule="auto"/>
      </w:pPr>
      <w:r>
        <w:separator/>
      </w:r>
    </w:p>
  </w:endnote>
  <w:endnote w:type="continuationSeparator" w:id="0">
    <w:p w:rsidR="006A2B2B" w:rsidRDefault="006A2B2B" w:rsidP="009B0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2B2B" w:rsidRDefault="006A2B2B" w:rsidP="009B04F4">
      <w:pPr>
        <w:spacing w:after="0" w:line="240" w:lineRule="auto"/>
      </w:pPr>
      <w:r>
        <w:separator/>
      </w:r>
    </w:p>
  </w:footnote>
  <w:footnote w:type="continuationSeparator" w:id="0">
    <w:p w:rsidR="006A2B2B" w:rsidRDefault="006A2B2B" w:rsidP="009B04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687442172"/>
      <w:docPartObj>
        <w:docPartGallery w:val="Page Numbers (Top of Page)"/>
        <w:docPartUnique/>
      </w:docPartObj>
    </w:sdtPr>
    <w:sdtEndPr>
      <w:rPr>
        <w:noProof/>
      </w:rPr>
    </w:sdtEndPr>
    <w:sdtContent>
      <w:p w:rsidR="009B04F4" w:rsidRPr="009B04F4" w:rsidRDefault="009B04F4">
        <w:pPr>
          <w:pStyle w:val="Header"/>
          <w:jc w:val="right"/>
          <w:rPr>
            <w:rFonts w:ascii="Times New Roman" w:hAnsi="Times New Roman" w:cs="Times New Roman"/>
            <w:sz w:val="24"/>
          </w:rPr>
        </w:pPr>
        <w:r w:rsidRPr="009B04F4">
          <w:rPr>
            <w:rFonts w:ascii="Times New Roman" w:hAnsi="Times New Roman" w:cs="Times New Roman"/>
            <w:sz w:val="24"/>
          </w:rPr>
          <w:fldChar w:fldCharType="begin"/>
        </w:r>
        <w:r w:rsidRPr="009B04F4">
          <w:rPr>
            <w:rFonts w:ascii="Times New Roman" w:hAnsi="Times New Roman" w:cs="Times New Roman"/>
            <w:sz w:val="24"/>
          </w:rPr>
          <w:instrText xml:space="preserve"> PAGE   \* MERGEFORMAT </w:instrText>
        </w:r>
        <w:r w:rsidRPr="009B04F4">
          <w:rPr>
            <w:rFonts w:ascii="Times New Roman" w:hAnsi="Times New Roman" w:cs="Times New Roman"/>
            <w:sz w:val="24"/>
          </w:rPr>
          <w:fldChar w:fldCharType="separate"/>
        </w:r>
        <w:r w:rsidR="00F8795D">
          <w:rPr>
            <w:rFonts w:ascii="Times New Roman" w:hAnsi="Times New Roman" w:cs="Times New Roman"/>
            <w:noProof/>
            <w:sz w:val="24"/>
          </w:rPr>
          <w:t>11</w:t>
        </w:r>
        <w:r w:rsidRPr="009B04F4">
          <w:rPr>
            <w:rFonts w:ascii="Times New Roman" w:hAnsi="Times New Roman" w:cs="Times New Roman"/>
            <w:noProof/>
            <w:sz w:val="24"/>
          </w:rPr>
          <w:fldChar w:fldCharType="end"/>
        </w:r>
      </w:p>
    </w:sdtContent>
  </w:sdt>
  <w:p w:rsidR="009B04F4" w:rsidRPr="009B04F4" w:rsidRDefault="009B04F4">
    <w:pPr>
      <w:pStyle w:val="Header"/>
      <w:rPr>
        <w:rFonts w:ascii="Times New Roman" w:hAnsi="Times New Roman" w:cs="Times New Roman"/>
        <w:sz w:val="24"/>
      </w:rPr>
    </w:pPr>
    <w:r w:rsidRPr="009B04F4">
      <w:rPr>
        <w:rFonts w:ascii="Times New Roman" w:hAnsi="Times New Roman" w:cs="Times New Roman"/>
        <w:sz w:val="24"/>
      </w:rPr>
      <w:t>HURRICANE MARIA IN PUERTO RICO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87166555"/>
      <w:docPartObj>
        <w:docPartGallery w:val="Page Numbers (Top of Page)"/>
        <w:docPartUnique/>
      </w:docPartObj>
    </w:sdtPr>
    <w:sdtEndPr>
      <w:rPr>
        <w:noProof/>
      </w:rPr>
    </w:sdtEndPr>
    <w:sdtContent>
      <w:p w:rsidR="009B04F4" w:rsidRPr="009B04F4" w:rsidRDefault="009B04F4">
        <w:pPr>
          <w:pStyle w:val="Header"/>
          <w:jc w:val="right"/>
          <w:rPr>
            <w:rFonts w:ascii="Times New Roman" w:hAnsi="Times New Roman" w:cs="Times New Roman"/>
            <w:sz w:val="24"/>
          </w:rPr>
        </w:pPr>
        <w:r w:rsidRPr="009B04F4">
          <w:rPr>
            <w:rFonts w:ascii="Times New Roman" w:hAnsi="Times New Roman" w:cs="Times New Roman"/>
            <w:sz w:val="24"/>
          </w:rPr>
          <w:fldChar w:fldCharType="begin"/>
        </w:r>
        <w:r w:rsidRPr="009B04F4">
          <w:rPr>
            <w:rFonts w:ascii="Times New Roman" w:hAnsi="Times New Roman" w:cs="Times New Roman"/>
            <w:sz w:val="24"/>
          </w:rPr>
          <w:instrText xml:space="preserve"> PAGE   \* MERGEFORMAT </w:instrText>
        </w:r>
        <w:r w:rsidRPr="009B04F4">
          <w:rPr>
            <w:rFonts w:ascii="Times New Roman" w:hAnsi="Times New Roman" w:cs="Times New Roman"/>
            <w:sz w:val="24"/>
          </w:rPr>
          <w:fldChar w:fldCharType="separate"/>
        </w:r>
        <w:r w:rsidR="00F8795D">
          <w:rPr>
            <w:rFonts w:ascii="Times New Roman" w:hAnsi="Times New Roman" w:cs="Times New Roman"/>
            <w:noProof/>
            <w:sz w:val="24"/>
          </w:rPr>
          <w:t>1</w:t>
        </w:r>
        <w:r w:rsidRPr="009B04F4">
          <w:rPr>
            <w:rFonts w:ascii="Times New Roman" w:hAnsi="Times New Roman" w:cs="Times New Roman"/>
            <w:noProof/>
            <w:sz w:val="24"/>
          </w:rPr>
          <w:fldChar w:fldCharType="end"/>
        </w:r>
      </w:p>
    </w:sdtContent>
  </w:sdt>
  <w:p w:rsidR="009B04F4" w:rsidRPr="009B04F4" w:rsidRDefault="009B04F4">
    <w:pPr>
      <w:pStyle w:val="Header"/>
      <w:rPr>
        <w:rFonts w:ascii="Times New Roman" w:hAnsi="Times New Roman" w:cs="Times New Roman"/>
        <w:sz w:val="24"/>
      </w:rPr>
    </w:pPr>
    <w:r w:rsidRPr="009B04F4">
      <w:rPr>
        <w:rFonts w:ascii="Times New Roman" w:hAnsi="Times New Roman" w:cs="Times New Roman"/>
        <w:sz w:val="24"/>
      </w:rPr>
      <w:t>Running Head: HURRICANE MARIA IN PUERTO RICO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38C"/>
    <w:rsid w:val="000552AC"/>
    <w:rsid w:val="00056372"/>
    <w:rsid w:val="000C3971"/>
    <w:rsid w:val="000F6F12"/>
    <w:rsid w:val="001775CC"/>
    <w:rsid w:val="001A6102"/>
    <w:rsid w:val="001C78B7"/>
    <w:rsid w:val="001D443B"/>
    <w:rsid w:val="002512AD"/>
    <w:rsid w:val="00274818"/>
    <w:rsid w:val="002A42D9"/>
    <w:rsid w:val="002B2F99"/>
    <w:rsid w:val="002F19A2"/>
    <w:rsid w:val="00351ABD"/>
    <w:rsid w:val="003D146F"/>
    <w:rsid w:val="005043CA"/>
    <w:rsid w:val="005211AD"/>
    <w:rsid w:val="005259F4"/>
    <w:rsid w:val="005B7CE9"/>
    <w:rsid w:val="005E131A"/>
    <w:rsid w:val="005E2EAD"/>
    <w:rsid w:val="0065762F"/>
    <w:rsid w:val="006A238C"/>
    <w:rsid w:val="006A2B2B"/>
    <w:rsid w:val="006E507F"/>
    <w:rsid w:val="007018F8"/>
    <w:rsid w:val="00727882"/>
    <w:rsid w:val="00794BF6"/>
    <w:rsid w:val="008426C0"/>
    <w:rsid w:val="00886150"/>
    <w:rsid w:val="00896AA2"/>
    <w:rsid w:val="008C21D8"/>
    <w:rsid w:val="008D3E35"/>
    <w:rsid w:val="008E1468"/>
    <w:rsid w:val="00906726"/>
    <w:rsid w:val="00932226"/>
    <w:rsid w:val="0099620D"/>
    <w:rsid w:val="009B04F4"/>
    <w:rsid w:val="00A127C5"/>
    <w:rsid w:val="00A24BE8"/>
    <w:rsid w:val="00A27507"/>
    <w:rsid w:val="00A63F93"/>
    <w:rsid w:val="00A643C2"/>
    <w:rsid w:val="00AB5EE4"/>
    <w:rsid w:val="00B84A87"/>
    <w:rsid w:val="00C46A97"/>
    <w:rsid w:val="00C6131D"/>
    <w:rsid w:val="00C970F8"/>
    <w:rsid w:val="00CF10C3"/>
    <w:rsid w:val="00D22D9F"/>
    <w:rsid w:val="00D403AB"/>
    <w:rsid w:val="00D6508E"/>
    <w:rsid w:val="00DB33DF"/>
    <w:rsid w:val="00DC38B2"/>
    <w:rsid w:val="00DE4BE5"/>
    <w:rsid w:val="00E51AED"/>
    <w:rsid w:val="00E578EC"/>
    <w:rsid w:val="00E77FF1"/>
    <w:rsid w:val="00E942B4"/>
    <w:rsid w:val="00EC2A60"/>
    <w:rsid w:val="00EE66B3"/>
    <w:rsid w:val="00F46E4A"/>
    <w:rsid w:val="00F8795D"/>
    <w:rsid w:val="00F91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68C6B1-73F0-4027-9D2C-2B02AFF03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4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4F4"/>
  </w:style>
  <w:style w:type="paragraph" w:styleId="Footer">
    <w:name w:val="footer"/>
    <w:basedOn w:val="Normal"/>
    <w:link w:val="FooterChar"/>
    <w:uiPriority w:val="99"/>
    <w:unhideWhenUsed/>
    <w:rsid w:val="009B04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4F4"/>
  </w:style>
  <w:style w:type="paragraph" w:styleId="NormalWeb">
    <w:name w:val="Normal (Web)"/>
    <w:basedOn w:val="Normal"/>
    <w:uiPriority w:val="99"/>
    <w:unhideWhenUsed/>
    <w:rsid w:val="007278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78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0521972">
      <w:bodyDiv w:val="1"/>
      <w:marLeft w:val="0"/>
      <w:marRight w:val="0"/>
      <w:marTop w:val="0"/>
      <w:marBottom w:val="0"/>
      <w:divBdr>
        <w:top w:val="none" w:sz="0" w:space="0" w:color="auto"/>
        <w:left w:val="none" w:sz="0" w:space="0" w:color="auto"/>
        <w:bottom w:val="none" w:sz="0" w:space="0" w:color="auto"/>
        <w:right w:val="none" w:sz="0" w:space="0" w:color="auto"/>
      </w:divBdr>
    </w:div>
    <w:div w:id="166003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895</TotalTime>
  <Pages>11</Pages>
  <Words>2535</Words>
  <Characters>14455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2021-01-14T16:10:00Z</dcterms:created>
  <dcterms:modified xsi:type="dcterms:W3CDTF">2021-01-15T07:06:00Z</dcterms:modified>
</cp:coreProperties>
</file>